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EE31" w14:textId="77777777" w:rsidR="00BE7D20" w:rsidRPr="00406C96" w:rsidRDefault="00BE7D20" w:rsidP="00BE7D20">
      <w:pPr>
        <w:shd w:val="clear" w:color="auto" w:fill="FFFFFF"/>
        <w:spacing w:after="0" w:line="450" w:lineRule="atLeast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406C9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DA68685" wp14:editId="2883896A">
            <wp:simplePos x="0" y="0"/>
            <wp:positionH relativeFrom="column">
              <wp:posOffset>139065</wp:posOffset>
            </wp:positionH>
            <wp:positionV relativeFrom="paragraph">
              <wp:posOffset>-129541</wp:posOffset>
            </wp:positionV>
            <wp:extent cx="2190750" cy="19907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C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  </w:t>
      </w:r>
      <w:r w:rsidRPr="00406C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Pr="00406C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</w:t>
      </w:r>
      <w:r w:rsidRPr="00406C9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93B6CF7" wp14:editId="57D0282E">
            <wp:extent cx="852207" cy="13716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62" cy="13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DBA5F" w14:textId="77777777" w:rsidR="00BE7D20" w:rsidRDefault="00BE7D20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DC2489" w14:textId="77777777" w:rsidR="00BE7D20" w:rsidRDefault="00BE7D20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AA132F" w14:textId="77777777" w:rsidR="00BE7D20" w:rsidRDefault="00BE7D20" w:rsidP="00BE7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1D665" w14:textId="67A24E7E" w:rsidR="007E60C3" w:rsidRPr="007E60C3" w:rsidRDefault="007E60C3" w:rsidP="00BE7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0C3">
        <w:rPr>
          <w:rFonts w:ascii="Times New Roman" w:hAnsi="Times New Roman" w:cs="Times New Roman"/>
          <w:b/>
          <w:bCs/>
          <w:sz w:val="28"/>
          <w:szCs w:val="28"/>
        </w:rPr>
        <w:t>Конференция-DSDM 2024</w:t>
      </w:r>
    </w:p>
    <w:p w14:paraId="16BAD3B6" w14:textId="400D68C1" w:rsidR="007E60C3" w:rsidRDefault="007E60C3" w:rsidP="009729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0C3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Дамуды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басқару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цифрландыру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тұрақтылық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экономикалық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әлеуметтік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экологиялық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аспектілер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" 4-ші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Халықаралық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пәнаралық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конференция (6-7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қыркүйек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2024 ж., Лондон,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Ұлыбритания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4797D0E" w14:textId="77777777" w:rsidR="0097295A" w:rsidRDefault="0097295A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5899A1" w14:textId="1B00B055" w:rsidR="007E60C3" w:rsidRPr="007E60C3" w:rsidRDefault="007E60C3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Ұйымдастырушылар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0A64EC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Лондон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Лондон,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Ұлыбритания</w:t>
      </w:r>
      <w:proofErr w:type="spellEnd"/>
    </w:p>
    <w:p w14:paraId="76AA9EDE" w14:textId="5FDE5579" w:rsidR="008E071F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WSB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Даброва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-Горница, Польша</w:t>
      </w:r>
    </w:p>
    <w:p w14:paraId="75E08A50" w14:textId="77777777" w:rsidR="0097295A" w:rsidRDefault="0097295A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29DC86" w14:textId="2DD8EBF3" w:rsidR="007E60C3" w:rsidRPr="007E60C3" w:rsidRDefault="007E60C3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ұйымдастыру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комитеті</w:t>
      </w:r>
      <w:proofErr w:type="spellEnd"/>
    </w:p>
    <w:p w14:paraId="408397CE" w14:textId="77777777" w:rsid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Профессор, доктор Алексей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Квилинский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Лондон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Лондон,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Ұлыбритания</w:t>
      </w:r>
      <w:proofErr w:type="spellEnd"/>
    </w:p>
    <w:p w14:paraId="327A9B07" w14:textId="1EAF274E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Катажина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Щепанска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-Вощина, ЖМБ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Даброва-Горнича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, Польша</w:t>
      </w:r>
    </w:p>
    <w:p w14:paraId="249A1BD5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Профессор доктор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Рафис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Абазов,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аграрлық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Колумбия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, Нью-Йорк, АҚШ</w:t>
      </w:r>
    </w:p>
    <w:p w14:paraId="472A8E60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Здислава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Дацко-Пикевич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WSB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Даброва-Горнича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, Польша</w:t>
      </w:r>
    </w:p>
    <w:p w14:paraId="46A4C41A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Лестер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Ингбер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ЖШС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институты,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Хиллсборо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, АҚШ</w:t>
      </w:r>
    </w:p>
    <w:p w14:paraId="3A04015F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Генрик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Дзвигол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Силезия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Гливице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, Польша</w:t>
      </w:r>
    </w:p>
    <w:p w14:paraId="46B570E1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Татьяна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Пимоненко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WSB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Домброва-Гурнича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, Польша</w:t>
      </w:r>
    </w:p>
    <w:p w14:paraId="39B839A3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lastRenderedPageBreak/>
        <w:t xml:space="preserve">Доктор Харальд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Эверби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Норвегияның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NTNU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Тронхейм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, Норвегия</w:t>
      </w:r>
    </w:p>
    <w:p w14:paraId="6B87EA25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Ян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Полчин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. Станислав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Сташич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Пилада, Польша</w:t>
      </w:r>
    </w:p>
    <w:p w14:paraId="582E75AA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Алексей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Люлев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WSB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Домброва-Гурнича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, Польша</w:t>
      </w:r>
    </w:p>
    <w:p w14:paraId="0964EE13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Мануэла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Тваронавичене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Гедиминас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Вильнюс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Вильнюс, Литва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14:paraId="000E174A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Александр Мельниченко, Лондон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Лондон,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Ұлыбритания</w:t>
      </w:r>
      <w:proofErr w:type="spellEnd"/>
    </w:p>
    <w:p w14:paraId="37A010D4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Проф. доктор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Абимбола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Олукеми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Виндапо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Кейптаун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Кейптаун,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Оңтүстік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Африка</w:t>
      </w:r>
    </w:p>
    <w:p w14:paraId="6F81F36C" w14:textId="0FAEE2FF" w:rsid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Профессор доктор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Четин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Бекташ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Токат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газиосманпаша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Токат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Түркия</w:t>
      </w:r>
      <w:proofErr w:type="spellEnd"/>
    </w:p>
    <w:p w14:paraId="4346F9D9" w14:textId="77777777" w:rsidR="00BE7D20" w:rsidRDefault="00BE7D20" w:rsidP="007E60C3">
      <w:pPr>
        <w:rPr>
          <w:rFonts w:ascii="Times New Roman" w:hAnsi="Times New Roman" w:cs="Times New Roman"/>
          <w:sz w:val="28"/>
          <w:szCs w:val="28"/>
        </w:rPr>
      </w:pPr>
    </w:p>
    <w:p w14:paraId="25C0908D" w14:textId="77777777" w:rsidR="007E60C3" w:rsidRPr="007E60C3" w:rsidRDefault="007E60C3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Конференция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тілі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ағылшын</w:t>
      </w:r>
      <w:proofErr w:type="spellEnd"/>
    </w:p>
    <w:p w14:paraId="67763209" w14:textId="77777777" w:rsidR="007E60C3" w:rsidRPr="007E60C3" w:rsidRDefault="007E60C3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Дипломдық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жұмысты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тапсырудың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соңғы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: 15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2024 ж</w:t>
      </w:r>
    </w:p>
    <w:p w14:paraId="3C6A61AE" w14:textId="77777777" w:rsidR="007E60C3" w:rsidRPr="007E60C3" w:rsidRDefault="007E60C3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есеп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берудің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соңғы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: 2024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15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тамыз</w:t>
      </w:r>
      <w:proofErr w:type="spellEnd"/>
    </w:p>
    <w:p w14:paraId="583224F4" w14:textId="77777777" w:rsidR="007E60C3" w:rsidRPr="007E60C3" w:rsidRDefault="007E60C3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Конференция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өтетін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орын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: Лондон,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Ұлыбритания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(онлайн)</w:t>
      </w:r>
    </w:p>
    <w:p w14:paraId="359485A0" w14:textId="77777777" w:rsidR="00BE7D20" w:rsidRDefault="00BE7D20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C08F31" w14:textId="14EBCFED" w:rsidR="007E60C3" w:rsidRPr="007E60C3" w:rsidRDefault="007E60C3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Конференцияның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</w:p>
    <w:p w14:paraId="6BC0E110" w14:textId="0D9AA939" w:rsid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DSDM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тәжірибешілер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зерттеушілерге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цифрландыру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тұрақтылығы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идеялармен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алмасуға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алаң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ғылыми-техникалық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прогресс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пәнаралық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мүмкіндіктерді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зерттеулерге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көкжиектер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Идеялармен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басымдықтарын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оңтайландыру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деңгейлерде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. Конференция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педагогтарға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зерттеушілерге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аспиранттарға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менеджерлерге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оқиғалардан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озып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өзгерістерге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015AA968" w14:textId="76885EFF" w:rsid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тақырыптарды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цифрландыру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даму;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интеллект;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когнитивті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экономика;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инновацияларды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энергетиканы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маркетинг.</w:t>
      </w:r>
    </w:p>
    <w:p w14:paraId="5E0313D2" w14:textId="77777777" w:rsidR="00BE7D20" w:rsidRDefault="00BE7D20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04971E" w14:textId="1DD70C64" w:rsidR="007E60C3" w:rsidRPr="007E60C3" w:rsidRDefault="007E60C3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Төменде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DSDM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конференциясының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әртүрлі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бөлімдерінде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қамтылатын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тақырыптардың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тізімі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берілген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7265289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Цифрландыру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контекстіндегі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64391654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цифрландыру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7D1A7612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маркетинг.</w:t>
      </w:r>
    </w:p>
    <w:p w14:paraId="7B307D68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когнитивті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0E47FC24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даму.</w:t>
      </w:r>
    </w:p>
    <w:p w14:paraId="7AA0A034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цифрландыру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7F2EF4C1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экономикадағы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477098B5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адами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капитал.</w:t>
      </w:r>
    </w:p>
    <w:p w14:paraId="459F36B0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болашақтың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0801DD1A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жаһандану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4A8BD5C8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11. Энергетика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секторындағы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менеджмент.</w:t>
      </w:r>
    </w:p>
    <w:p w14:paraId="7195415B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Маркетинг.</w:t>
      </w:r>
    </w:p>
    <w:p w14:paraId="05F928E3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13. Мал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орнықты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орнықтылық</w:t>
      </w:r>
      <w:proofErr w:type="spellEnd"/>
    </w:p>
    <w:p w14:paraId="42A24470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орнықты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орнықтылық</w:t>
      </w:r>
      <w:proofErr w:type="spellEnd"/>
    </w:p>
    <w:p w14:paraId="17968ACB" w14:textId="32BD7F8A" w:rsid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</w:p>
    <w:p w14:paraId="521029EB" w14:textId="77777777" w:rsidR="00BE7D20" w:rsidRDefault="00BE7D20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8AD85D" w14:textId="77777777" w:rsidR="00BE7D20" w:rsidRDefault="00BE7D20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D31904" w14:textId="5124EC52" w:rsidR="007E60C3" w:rsidRPr="007E60C3" w:rsidRDefault="007E60C3" w:rsidP="007E60C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Материалдарды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дайындауға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бақылау</w:t>
      </w:r>
      <w:proofErr w:type="spellEnd"/>
      <w:r w:rsidRPr="007E6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b/>
          <w:bCs/>
          <w:sz w:val="28"/>
          <w:szCs w:val="28"/>
        </w:rPr>
        <w:t>тізімі</w:t>
      </w:r>
      <w:proofErr w:type="spellEnd"/>
    </w:p>
    <w:p w14:paraId="1273928F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авторлар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сәйкестігін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өтуі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сақтамаған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авторларға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өтінімдер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қайтарылуы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76CA4533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жарияланбаған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журналда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қаралмайды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редакторға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түсініктемелерде"берілген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).</w:t>
      </w:r>
    </w:p>
    <w:p w14:paraId="48CD99C8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Мазмұнның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шынайылығы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дұрыстығын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мақалалардың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түпнұсқа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көздерден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көшірілмеуі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129168FF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оқырмандардың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мазмұнды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алуын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75C238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Мәтінде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баяндалған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стилистикалық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8D868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авторға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нұсқаулықта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".</w:t>
      </w:r>
    </w:p>
    <w:p w14:paraId="4F82BD36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иллюстрациялар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кестелер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мәтінде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65A199A1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Файл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RTF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жасалуы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038FAD9A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сілтемелердің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URL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мекенжайлары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3A03A6F1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835A8" w14:textId="77777777" w:rsidR="007E60C3" w:rsidRPr="00BE7D20" w:rsidRDefault="007E60C3" w:rsidP="00BE7D2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D20">
        <w:rPr>
          <w:rFonts w:ascii="Times New Roman" w:hAnsi="Times New Roman" w:cs="Times New Roman"/>
          <w:b/>
          <w:sz w:val="28"/>
          <w:szCs w:val="28"/>
        </w:rPr>
        <w:t>Конференцияға</w:t>
      </w:r>
      <w:proofErr w:type="spellEnd"/>
      <w:r w:rsidRPr="00BE7D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D20">
        <w:rPr>
          <w:rFonts w:ascii="Times New Roman" w:hAnsi="Times New Roman" w:cs="Times New Roman"/>
          <w:b/>
          <w:sz w:val="28"/>
          <w:szCs w:val="28"/>
        </w:rPr>
        <w:t>қатысу</w:t>
      </w:r>
      <w:proofErr w:type="spellEnd"/>
      <w:r w:rsidRPr="00BE7D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D20">
        <w:rPr>
          <w:rFonts w:ascii="Times New Roman" w:hAnsi="Times New Roman" w:cs="Times New Roman"/>
          <w:b/>
          <w:sz w:val="28"/>
          <w:szCs w:val="28"/>
        </w:rPr>
        <w:t>тегін</w:t>
      </w:r>
      <w:proofErr w:type="spellEnd"/>
      <w:r w:rsidRPr="00BE7D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69F3A28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Конференция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рецензияланған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шарттарына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анықталатын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ақыға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жариялануы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конференцияның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қатысушыларына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3586FF5A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FEEBFA" w14:textId="77777777" w:rsidR="007E60C3" w:rsidRPr="00BE7D20" w:rsidRDefault="007E60C3" w:rsidP="00BE7D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D20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  <w:proofErr w:type="spellStart"/>
      <w:r w:rsidRPr="00BE7D20">
        <w:rPr>
          <w:rFonts w:ascii="Times New Roman" w:hAnsi="Times New Roman" w:cs="Times New Roman"/>
          <w:b/>
          <w:sz w:val="28"/>
          <w:szCs w:val="28"/>
        </w:rPr>
        <w:t>материалдары</w:t>
      </w:r>
      <w:proofErr w:type="spellEnd"/>
      <w:r w:rsidRPr="00BE7D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AF85D9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Конференцияда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дамуды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цифрландыру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орнықты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даму: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аспектілер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" 4-ші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пәнаралық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конференциясының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жинағында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</w:p>
    <w:p w14:paraId="04AEC03C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</w:p>
    <w:p w14:paraId="3F116E93" w14:textId="77777777" w:rsidR="007E60C3" w:rsidRPr="00BE7D20" w:rsidRDefault="007E60C3" w:rsidP="007E60C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D20">
        <w:rPr>
          <w:rFonts w:ascii="Times New Roman" w:hAnsi="Times New Roman" w:cs="Times New Roman"/>
          <w:b/>
          <w:sz w:val="28"/>
          <w:szCs w:val="28"/>
        </w:rPr>
        <w:t>Авторларға</w:t>
      </w:r>
      <w:proofErr w:type="spellEnd"/>
      <w:r w:rsidRPr="00BE7D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D20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BE7D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D20">
        <w:rPr>
          <w:rFonts w:ascii="Times New Roman" w:hAnsi="Times New Roman" w:cs="Times New Roman"/>
          <w:b/>
          <w:sz w:val="28"/>
          <w:szCs w:val="28"/>
        </w:rPr>
        <w:t>ұсыныстар</w:t>
      </w:r>
      <w:proofErr w:type="spellEnd"/>
    </w:p>
    <w:p w14:paraId="1ACBE0C3" w14:textId="77777777" w:rsidR="007E60C3" w:rsidRPr="007E60C3" w:rsidRDefault="007E60C3" w:rsidP="00BE7D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метражды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мақалалардың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4000-7000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сөзден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тұруы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интернетте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редакторлар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қолжазбаларды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бағалайды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қабылданбаған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түпнұсқа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журналдың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аясынан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Минималды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критерийлерге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lastRenderedPageBreak/>
        <w:t>мақалалар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шолушыға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. г)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қабылданғаннан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авторлардан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сұралады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.</w:t>
      </w:r>
    </w:p>
    <w:p w14:paraId="1A7A46C6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9DAAB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Мақалаларды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жіберуге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сайттарында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сипатталған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46A991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экономика (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>);</w:t>
      </w:r>
    </w:p>
    <w:p w14:paraId="24E3D22E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экономикаға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7E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</w:p>
    <w:p w14:paraId="5302F285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>Сайт: https://www.virtual-economics.eu/index.php/VE/DSDM_2024</w:t>
      </w:r>
    </w:p>
    <w:p w14:paraId="331EC0EB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Forum Scientiae </w:t>
      </w:r>
      <w:proofErr w:type="spellStart"/>
      <w:r w:rsidRPr="007E60C3">
        <w:rPr>
          <w:rFonts w:ascii="Times New Roman" w:hAnsi="Times New Roman" w:cs="Times New Roman"/>
          <w:sz w:val="28"/>
          <w:szCs w:val="28"/>
          <w:lang w:val="en-US"/>
        </w:rPr>
        <w:t>Oeconomia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(Scopus,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3DDBC0BA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шығарылым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60C3">
        <w:rPr>
          <w:rFonts w:ascii="Times New Roman" w:hAnsi="Times New Roman" w:cs="Times New Roman"/>
          <w:sz w:val="28"/>
          <w:szCs w:val="28"/>
        </w:rPr>
        <w:t>менеджмент</w:t>
      </w:r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энергетикадағы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аспектілер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(Scopus, Web of Science,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327D72BE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Ұйымдастырушылардан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шақырулар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жіберілетін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конференцияға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E3s Web of Conferences (Scopus, Web of Science,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мақалаларын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рецензияланатын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жариялауға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. Microsoft Word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үлгісін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A7AE54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Конференцияға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нысанды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D7950B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60C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жайға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0C3">
        <w:rPr>
          <w:rFonts w:ascii="Times New Roman" w:hAnsi="Times New Roman" w:cs="Times New Roman"/>
          <w:sz w:val="28"/>
          <w:szCs w:val="28"/>
        </w:rPr>
        <w:t>хабарласыңыз</w:t>
      </w:r>
      <w:proofErr w:type="spellEnd"/>
      <w:r w:rsidRPr="007E60C3">
        <w:rPr>
          <w:rFonts w:ascii="Times New Roman" w:hAnsi="Times New Roman" w:cs="Times New Roman"/>
          <w:sz w:val="28"/>
          <w:szCs w:val="28"/>
          <w:lang w:val="en-US"/>
        </w:rPr>
        <w:t>: dsdm.esea@gmail.com.</w:t>
      </w:r>
    </w:p>
    <w:p w14:paraId="317DC09B" w14:textId="77777777" w:rsidR="007E60C3" w:rsidRPr="007E60C3" w:rsidRDefault="007E60C3" w:rsidP="007E60C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0DD57D" w14:textId="77777777" w:rsidR="00BE7D20" w:rsidRDefault="007E60C3" w:rsidP="00BE7D20">
      <w:pPr>
        <w:spacing w:before="120" w:after="12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D20">
        <w:rPr>
          <w:rFonts w:ascii="Times New Roman" w:hAnsi="Times New Roman" w:cs="Times New Roman"/>
          <w:b/>
          <w:sz w:val="28"/>
          <w:szCs w:val="28"/>
        </w:rPr>
        <w:t>Тіркелу</w:t>
      </w:r>
      <w:proofErr w:type="spellEnd"/>
      <w:r w:rsidRPr="00BE7D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D20">
        <w:rPr>
          <w:rFonts w:ascii="Times New Roman" w:hAnsi="Times New Roman" w:cs="Times New Roman"/>
          <w:b/>
          <w:sz w:val="28"/>
          <w:szCs w:val="28"/>
        </w:rPr>
        <w:t>сілтемесі</w:t>
      </w:r>
      <w:proofErr w:type="spellEnd"/>
      <w:r w:rsidR="00BE7D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AD28F7A" w14:textId="2F683033" w:rsidR="007E60C3" w:rsidRPr="00412CC7" w:rsidRDefault="007E60C3" w:rsidP="00BE7D20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7E60C3">
        <w:rPr>
          <w:rFonts w:ascii="Times New Roman" w:hAnsi="Times New Roman" w:cs="Times New Roman"/>
          <w:sz w:val="28"/>
          <w:szCs w:val="28"/>
        </w:rPr>
        <w:t>https://docs.google.com/forms/d/e/1FAIpQLScnu9eADd9bGp7_22zwAwXmG36mDTOw8MjJKV_bZUO2rCBpkA/viewform</w:t>
      </w:r>
    </w:p>
    <w:sectPr w:rsidR="007E60C3" w:rsidRPr="00412C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CCAC" w14:textId="77777777" w:rsidR="001D5EFB" w:rsidRDefault="001D5EFB" w:rsidP="00BE7D20">
      <w:pPr>
        <w:spacing w:after="0" w:line="240" w:lineRule="auto"/>
      </w:pPr>
      <w:r>
        <w:separator/>
      </w:r>
    </w:p>
  </w:endnote>
  <w:endnote w:type="continuationSeparator" w:id="0">
    <w:p w14:paraId="7A068CD8" w14:textId="77777777" w:rsidR="001D5EFB" w:rsidRDefault="001D5EFB" w:rsidP="00BE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841712"/>
      <w:docPartObj>
        <w:docPartGallery w:val="Page Numbers (Bottom of Page)"/>
        <w:docPartUnique/>
      </w:docPartObj>
    </w:sdtPr>
    <w:sdtContent>
      <w:p w14:paraId="2353DA11" w14:textId="0E726778" w:rsidR="00BE7D20" w:rsidRDefault="00BE7D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5A">
          <w:rPr>
            <w:noProof/>
          </w:rPr>
          <w:t>2</w:t>
        </w:r>
        <w:r>
          <w:fldChar w:fldCharType="end"/>
        </w:r>
      </w:p>
    </w:sdtContent>
  </w:sdt>
  <w:p w14:paraId="2A5B188F" w14:textId="77777777" w:rsidR="00BE7D20" w:rsidRDefault="00BE7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5BF70" w14:textId="77777777" w:rsidR="001D5EFB" w:rsidRDefault="001D5EFB" w:rsidP="00BE7D20">
      <w:pPr>
        <w:spacing w:after="0" w:line="240" w:lineRule="auto"/>
      </w:pPr>
      <w:r>
        <w:separator/>
      </w:r>
    </w:p>
  </w:footnote>
  <w:footnote w:type="continuationSeparator" w:id="0">
    <w:p w14:paraId="1E2EC6C9" w14:textId="77777777" w:rsidR="001D5EFB" w:rsidRDefault="001D5EFB" w:rsidP="00BE7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2B"/>
    <w:rsid w:val="001D5EFB"/>
    <w:rsid w:val="00412CC7"/>
    <w:rsid w:val="007E60C3"/>
    <w:rsid w:val="008E071F"/>
    <w:rsid w:val="0097295A"/>
    <w:rsid w:val="009D5E2B"/>
    <w:rsid w:val="00B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DFBB6"/>
  <w15:chartTrackingRefBased/>
  <w15:docId w15:val="{7BA5D484-ABBC-4BD3-AE66-D0D7D33C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D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D20"/>
  </w:style>
  <w:style w:type="paragraph" w:styleId="a5">
    <w:name w:val="footer"/>
    <w:basedOn w:val="a"/>
    <w:link w:val="a6"/>
    <w:uiPriority w:val="99"/>
    <w:unhideWhenUsed/>
    <w:rsid w:val="00BE7D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6137</Characters>
  <Application>Microsoft Office Word</Application>
  <DocSecurity>0</DocSecurity>
  <Lines>149</Lines>
  <Paragraphs>70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Мәйкежан Рахимбекова</dc:creator>
  <cp:keywords/>
  <dc:description/>
  <cp:lastModifiedBy>user</cp:lastModifiedBy>
  <cp:revision>3</cp:revision>
  <dcterms:created xsi:type="dcterms:W3CDTF">2024-01-26T09:18:00Z</dcterms:created>
  <dcterms:modified xsi:type="dcterms:W3CDTF">2024-01-26T09:18:00Z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43a47ebda0eebe93fcc7c1660087bf5fe1d914ca3ea972d6a6924d61cad9a505</vt:lpwstr>
  </property>
</Properties>
</file>